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1" w:hanging="1541" w:hangingChars="700"/>
        <w:outlineLvl w:val="0"/>
        <w:rPr>
          <w:rFonts w:ascii="Arial" w:hAnsi="Arial" w:cs="Arial"/>
          <w:b/>
          <w:bCs/>
          <w:sz w:val="22"/>
          <w:szCs w:val="22"/>
        </w:rPr>
        <w:pPrChange w:id="0" w:author="ZTE DF" w:date="2024-02-13T13:32:40Z">
          <w:pPr>
            <w:spacing w:before="120" w:after="120"/>
            <w:ind w:left="1104" w:hanging="1101" w:hangingChars="500"/>
            <w:outlineLvl w:val="0"/>
          </w:pPr>
        </w:pPrChange>
      </w:pPr>
      <w:r>
        <w:rPr>
          <w:rFonts w:ascii="Arial" w:hAnsi="Arial" w:cs="Arial"/>
          <w:b/>
          <w:bCs/>
          <w:sz w:val="22"/>
          <w:szCs w:val="22"/>
        </w:rPr>
        <w:t>3GPP TSG RAN2#12</w:t>
      </w:r>
      <w:r>
        <w:rPr>
          <w:rFonts w:hint="eastAsia" w:ascii="Arial" w:hAnsi="Arial" w:eastAsia="宋体" w:cs="Arial"/>
          <w:b/>
          <w:bCs/>
          <w:sz w:val="22"/>
          <w:szCs w:val="22"/>
        </w:rPr>
        <w:t>5</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01048</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rPr>
        <w:t>Athens</w:t>
      </w:r>
      <w:r>
        <w:rPr>
          <w:rFonts w:ascii="Arial" w:hAnsi="Arial" w:cs="Arial"/>
          <w:b/>
          <w:bCs/>
          <w:sz w:val="22"/>
          <w:szCs w:val="22"/>
          <w:lang w:eastAsia="ja-JP"/>
        </w:rPr>
        <w:t xml:space="preserve">, </w:t>
      </w:r>
      <w:r>
        <w:rPr>
          <w:rFonts w:hint="eastAsia" w:ascii="Arial" w:hAnsi="Arial" w:eastAsia="宋体" w:cs="Arial"/>
          <w:b/>
          <w:bCs/>
          <w:sz w:val="22"/>
          <w:szCs w:val="22"/>
        </w:rPr>
        <w:t>Greece</w:t>
      </w:r>
      <w:r>
        <w:rPr>
          <w:rFonts w:ascii="Arial" w:hAnsi="Arial" w:cs="Arial"/>
          <w:b/>
          <w:bCs/>
          <w:sz w:val="22"/>
          <w:szCs w:val="22"/>
          <w:lang w:eastAsia="ja-JP"/>
        </w:rPr>
        <w:t xml:space="preserve">, </w:t>
      </w:r>
      <w:r>
        <w:rPr>
          <w:rFonts w:hint="eastAsia" w:ascii="Arial" w:hAnsi="Arial" w:eastAsia="宋体" w:cs="Arial"/>
          <w:b/>
          <w:bCs/>
          <w:sz w:val="22"/>
          <w:szCs w:val="22"/>
        </w:rPr>
        <w:t>Feb</w:t>
      </w:r>
      <w:r>
        <w:rPr>
          <w:rFonts w:ascii="Arial" w:hAnsi="Arial" w:cs="Arial"/>
          <w:b/>
          <w:bCs/>
          <w:sz w:val="22"/>
          <w:szCs w:val="22"/>
          <w:lang w:eastAsia="ja-JP"/>
        </w:rPr>
        <w:t xml:space="preserve"> </w:t>
      </w:r>
      <w:r>
        <w:rPr>
          <w:rFonts w:ascii="Arial" w:hAnsi="Arial" w:eastAsia="宋体" w:cs="Arial"/>
          <w:b/>
          <w:bCs/>
          <w:sz w:val="22"/>
          <w:szCs w:val="22"/>
        </w:rPr>
        <w:t>26</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Mar </w:t>
      </w:r>
      <w:r>
        <w:rPr>
          <w:rFonts w:ascii="Arial" w:hAnsi="Arial" w:eastAsia="宋体" w:cs="Arial"/>
          <w:b/>
          <w:bCs/>
          <w:sz w:val="22"/>
          <w:szCs w:val="22"/>
        </w:rPr>
        <w:t>1</w:t>
      </w:r>
      <w:r>
        <w:rPr>
          <w:rFonts w:hint="eastAsia" w:ascii="Arial" w:hAnsi="Arial" w:eastAsia="宋体" w:cs="Arial"/>
          <w:b/>
          <w:bCs/>
          <w:sz w:val="22"/>
          <w:szCs w:val="22"/>
          <w:vertAlign w:val="superscript"/>
        </w:rPr>
        <w:t>st</w:t>
      </w:r>
      <w:r>
        <w:rPr>
          <w:rFonts w:ascii="Arial" w:hAnsi="Arial" w:eastAsia="宋体" w:cs="Arial"/>
          <w:b/>
          <w:bCs/>
          <w:sz w:val="22"/>
          <w:szCs w:val="22"/>
        </w:rPr>
        <w:t xml:space="preserve"> </w:t>
      </w:r>
      <w:r>
        <w:rPr>
          <w:rFonts w:ascii="Arial" w:hAnsi="Arial" w:cs="Arial"/>
          <w:b/>
          <w:bCs/>
          <w:sz w:val="22"/>
          <w:szCs w:val="22"/>
          <w:lang w:eastAsia="ja-JP"/>
        </w:rPr>
        <w:t>, 2023</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w:t>
      </w:r>
      <w:r>
        <w:rPr>
          <w:rFonts w:hint="eastAsia" w:ascii="Arial" w:hAnsi="Arial" w:eastAsia="宋体" w:cs="Arial"/>
          <w:b/>
          <w:sz w:val="22"/>
          <w:szCs w:val="22"/>
          <w:lang w:val="en-US" w:eastAsia="zh-CN"/>
        </w:rPr>
        <w:t>20.2</w:t>
      </w:r>
      <w:bookmarkStart w:id="7" w:name="_GoBack"/>
      <w:bookmarkEnd w:id="7"/>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Considerations on Remaining Issues For 2TA</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eastAsia" w:eastAsiaTheme="minorEastAsia"/>
          <w:sz w:val="21"/>
          <w:szCs w:val="21"/>
          <w:lang w:val="en-US" w:eastAsia="zh-CN"/>
        </w:rPr>
      </w:pPr>
      <w:r>
        <w:rPr>
          <w:rFonts w:hint="eastAsia" w:eastAsiaTheme="minorEastAsia"/>
          <w:sz w:val="21"/>
          <w:szCs w:val="21"/>
          <w:lang w:val="en-US" w:eastAsia="zh-CN"/>
        </w:rPr>
        <w:t>In this contribution, we intents to discuss the following remaining issues summarized by the rapporteur.</w:t>
      </w:r>
    </w:p>
    <w:p>
      <w:pPr>
        <w:numPr>
          <w:ilvl w:val="0"/>
          <w:numId w:val="12"/>
        </w:numPr>
        <w:spacing w:before="120" w:after="120"/>
        <w:ind w:left="420" w:leftChars="0" w:hanging="420" w:firstLineChars="0"/>
        <w:rPr>
          <w:rFonts w:hint="eastAsia" w:eastAsiaTheme="minorEastAsia"/>
          <w:sz w:val="21"/>
          <w:szCs w:val="21"/>
          <w:lang w:val="en-US" w:eastAsia="zh-CN"/>
        </w:rPr>
      </w:pPr>
      <w:r>
        <w:rPr>
          <w:rFonts w:hint="eastAsia" w:eastAsiaTheme="minorEastAsia"/>
          <w:sz w:val="21"/>
          <w:szCs w:val="21"/>
          <w:lang w:val="en-US" w:eastAsia="zh-CN"/>
        </w:rPr>
        <w:t>Whether/how to specify handling of TAT when the MTTD between PTAGs within a MAC entity is exceeded.</w:t>
      </w:r>
    </w:p>
    <w:p>
      <w:pPr>
        <w:numPr>
          <w:ilvl w:val="1"/>
          <w:numId w:val="12"/>
        </w:numPr>
        <w:spacing w:before="120" w:after="120"/>
        <w:ind w:left="840" w:leftChars="0" w:hanging="420" w:firstLineChars="0"/>
        <w:rPr>
          <w:rFonts w:hint="eastAsia" w:eastAsiaTheme="minorEastAsia"/>
          <w:sz w:val="21"/>
          <w:szCs w:val="21"/>
          <w:lang w:val="en-US" w:eastAsia="zh-CN"/>
        </w:rPr>
      </w:pPr>
      <w:r>
        <w:rPr>
          <w:rFonts w:hint="eastAsia" w:eastAsiaTheme="minorEastAsia"/>
          <w:sz w:val="21"/>
          <w:szCs w:val="21"/>
          <w:lang w:val="en-US" w:eastAsia="zh-CN"/>
        </w:rPr>
        <w:t>Comment: This is a leftover of last meeting discussion. In last meeting, we have specified for the case of STAG we follow the legacy rule. For MTTD between PTAGs within a MAC entity, it is a new scenario that has no reference to legacy. So whether/how to specify needs discussion to avoid ambiguity for the new case.</w:t>
      </w:r>
    </w:p>
    <w:p>
      <w:pPr>
        <w:numPr>
          <w:ilvl w:val="0"/>
          <w:numId w:val="13"/>
        </w:numPr>
        <w:spacing w:before="120" w:after="120"/>
        <w:ind w:left="420" w:leftChars="0" w:hanging="420" w:firstLineChars="0"/>
        <w:rPr>
          <w:rFonts w:hint="default" w:eastAsiaTheme="minorEastAsia"/>
          <w:sz w:val="21"/>
          <w:szCs w:val="21"/>
          <w:lang w:val="en-US" w:eastAsia="zh-CN"/>
        </w:rPr>
      </w:pPr>
      <w:r>
        <w:rPr>
          <w:rFonts w:hint="default" w:eastAsiaTheme="minorEastAsia"/>
          <w:sz w:val="21"/>
          <w:szCs w:val="21"/>
          <w:lang w:val="en-US" w:eastAsia="zh-CN"/>
        </w:rPr>
        <w:t>When UE transits from SDT in RRC inactive (SDT TAT is running) to RRC connected, of which PTAG the TAT should be started if 2 PTAGs are configured.</w:t>
      </w:r>
    </w:p>
    <w:p>
      <w:pPr>
        <w:numPr>
          <w:ilvl w:val="1"/>
          <w:numId w:val="13"/>
        </w:numPr>
        <w:spacing w:before="120" w:after="120"/>
        <w:ind w:left="840" w:leftChars="0" w:hanging="420" w:firstLineChars="0"/>
        <w:rPr>
          <w:rFonts w:hint="default" w:eastAsiaTheme="minorEastAsia"/>
          <w:sz w:val="21"/>
          <w:szCs w:val="21"/>
          <w:lang w:val="en-US" w:eastAsia="zh-CN"/>
        </w:rPr>
      </w:pPr>
      <w:r>
        <w:rPr>
          <w:rFonts w:hint="default" w:eastAsiaTheme="minorEastAsia"/>
          <w:sz w:val="21"/>
          <w:szCs w:val="21"/>
          <w:lang w:val="en-US" w:eastAsia="zh-CN"/>
        </w:rPr>
        <w:t>Comment: this may have impacts on both RRC and MAC</w:t>
      </w:r>
    </w:p>
    <w:p>
      <w:pPr>
        <w:pStyle w:val="2"/>
        <w:spacing w:before="72" w:beforeLines="30" w:after="72" w:afterLines="30" w:line="288" w:lineRule="auto"/>
        <w:rPr>
          <w:rFonts w:hint="default"/>
          <w:lang w:val="en-US" w:eastAsia="zh-CN"/>
        </w:rPr>
      </w:pPr>
      <w:r>
        <w:t>Discussion</w:t>
      </w:r>
      <w:r>
        <w:rPr>
          <w:rFonts w:eastAsiaTheme="minorEastAsia"/>
        </w:rPr>
        <w:t xml:space="preserve"> </w:t>
      </w:r>
    </w:p>
    <w:p>
      <w:pPr>
        <w:pStyle w:val="3"/>
        <w:bidi w:val="0"/>
        <w:rPr>
          <w:rFonts w:hint="default" w:eastAsia="Arial Unicode MS"/>
          <w:lang w:val="en-US" w:eastAsia="zh-CN"/>
        </w:rPr>
      </w:pPr>
      <w:r>
        <w:rPr>
          <w:rFonts w:hint="eastAsia"/>
          <w:lang w:val="en-US" w:eastAsia="zh-CN"/>
        </w:rPr>
        <w:t>The impact of 2TA on SDT</w:t>
      </w:r>
    </w:p>
    <w:p>
      <w:pPr>
        <w:rPr>
          <w:rFonts w:hint="eastAsia"/>
          <w:lang w:val="en-US" w:eastAsia="zh-CN"/>
        </w:rPr>
      </w:pPr>
      <w:r>
        <w:rPr>
          <w:rFonts w:hint="eastAsia"/>
          <w:lang w:val="en-US" w:eastAsia="zh-CN"/>
        </w:rPr>
        <w:t>SDT is a feature which is categorized into two types : CG based SDT and RACH based SDT. For CG-SDT transmission, the QCL-info for CG-SDT transmission is determined by the SSB selected for each CG occasion. For RA based SDT, the QCL-info for RA-SDT transmission is determined by the SSB selected for the preamble transmission of RACH procedure .</w:t>
      </w:r>
    </w:p>
    <w:p>
      <w:pPr>
        <w:rPr>
          <w:rFonts w:hint="eastAsia"/>
          <w:lang w:val="en-US" w:eastAsia="zh-CN"/>
        </w:rPr>
      </w:pPr>
      <w:r>
        <w:rPr>
          <w:rFonts w:hint="eastAsia"/>
          <w:lang w:val="en-US" w:eastAsia="zh-CN"/>
        </w:rPr>
        <w:t xml:space="preserve">In RA-SDT, the TA for RA-SDT is obtained from RACH procedure and applied to the subsequent UL SDT transmission regardless of how many TAGs are configured for the PCell where the RRC Release message received; </w:t>
      </w:r>
    </w:p>
    <w:p>
      <w:pPr>
        <w:rPr>
          <w:rFonts w:hint="default"/>
          <w:lang w:val="en-US" w:eastAsia="zh-CN"/>
        </w:rPr>
      </w:pPr>
      <w:r>
        <w:rPr>
          <w:rFonts w:hint="eastAsia"/>
          <w:lang w:val="en-US" w:eastAsia="zh-CN"/>
        </w:rPr>
        <w:t xml:space="preserve">However, in CG-SDT, the TA for CG-SDT is determined by the SSB selected for each CG occasion, in the case of PCell configured with intra-cell mTRP with 2TA, the SSB for the PCell is sent by different TRPs and hence the different TA values shall be applied if the different SSB is selected for the CG transmission, </w:t>
      </w:r>
      <w:r>
        <w:rPr>
          <w:rFonts w:hint="eastAsia"/>
          <w:i w:val="0"/>
          <w:iCs w:val="0"/>
          <w:lang w:val="en-US" w:eastAsia="zh-CN"/>
        </w:rPr>
        <w:t xml:space="preserve">However, </w:t>
      </w:r>
      <w:r>
        <w:rPr>
          <w:rFonts w:hint="default"/>
          <w:i w:val="0"/>
          <w:iCs w:val="0"/>
          <w:lang w:eastAsia="zh-CN"/>
        </w:rPr>
        <w:t xml:space="preserve">due to the lack of association between SSB and TAG, </w:t>
      </w:r>
      <w:r>
        <w:rPr>
          <w:rFonts w:hint="eastAsia"/>
          <w:i w:val="0"/>
          <w:iCs w:val="0"/>
          <w:lang w:val="en-US" w:eastAsia="zh-CN"/>
        </w:rPr>
        <w:t>it will make UE be unclear about which TA value shall be applied for the selected SSB when performing the CG-SDT.</w:t>
      </w:r>
      <w:r>
        <w:rPr>
          <w:rFonts w:hint="eastAsia"/>
          <w:lang w:val="en-US" w:eastAsia="zh-CN"/>
        </w:rPr>
        <w:t xml:space="preserve"> </w:t>
      </w:r>
    </w:p>
    <w:p>
      <w:pPr>
        <w:pStyle w:val="32"/>
        <w:bidi w:val="0"/>
        <w:rPr>
          <w:rFonts w:hint="eastAsia"/>
          <w:lang w:val="en-US" w:eastAsia="zh-CN"/>
        </w:rPr>
      </w:pPr>
      <w:bookmarkStart w:id="0" w:name="_Toc14669"/>
      <w:r>
        <w:rPr>
          <w:rFonts w:hint="eastAsia"/>
          <w:lang w:val="en-US" w:eastAsia="zh-CN"/>
        </w:rPr>
        <w:t>For CG-SDT, in the case of the PCell where the RRCRelease is received is configured with intra-cell mTRP with 2TA, due to the lack of the association between TAG and SSB, UE may have no ability to apply the correct TA for the selected SSB when performing the CG-SDT.</w:t>
      </w:r>
      <w:bookmarkEnd w:id="0"/>
    </w:p>
    <w:p>
      <w:pPr>
        <w:rPr>
          <w:rFonts w:hint="eastAsia"/>
          <w:lang w:val="en-US" w:eastAsia="zh-CN"/>
        </w:rPr>
      </w:pPr>
      <w:r>
        <w:rPr>
          <w:rFonts w:hint="eastAsia"/>
          <w:lang w:val="en-US" w:eastAsia="zh-CN"/>
        </w:rPr>
        <w:t>For resolving this issue, there are following options to go:</w:t>
      </w:r>
    </w:p>
    <w:p>
      <w:pPr>
        <w:numPr>
          <w:ilvl w:val="0"/>
          <w:numId w:val="14"/>
        </w:numPr>
        <w:ind w:left="420" w:leftChars="0" w:hanging="420" w:firstLineChars="0"/>
        <w:rPr>
          <w:rFonts w:hint="eastAsia"/>
          <w:lang w:val="en-US" w:eastAsia="zh-CN"/>
        </w:rPr>
      </w:pPr>
      <w:r>
        <w:rPr>
          <w:rFonts w:hint="eastAsia"/>
          <w:lang w:val="en-US" w:eastAsia="zh-CN"/>
        </w:rPr>
        <w:t>Option 1: Introduce an indication for the CG-SDT in RRCRelease message to indicate the TAG information for each candidate SSB for CG-SDT initiation.</w:t>
      </w:r>
    </w:p>
    <w:p>
      <w:pPr>
        <w:numPr>
          <w:ilvl w:val="0"/>
          <w:numId w:val="14"/>
        </w:numPr>
        <w:ind w:left="420" w:leftChars="0" w:hanging="420" w:firstLineChars="0"/>
        <w:rPr>
          <w:rFonts w:hint="eastAsia"/>
          <w:lang w:val="en-US" w:eastAsia="zh-CN"/>
        </w:rPr>
      </w:pPr>
      <w:r>
        <w:rPr>
          <w:rFonts w:hint="eastAsia"/>
          <w:lang w:val="en-US" w:eastAsia="zh-CN"/>
        </w:rPr>
        <w:t xml:space="preserve">Option 2: </w:t>
      </w:r>
      <w:bookmarkStart w:id="1" w:name="OLE_LINK1"/>
      <w:r>
        <w:rPr>
          <w:rFonts w:hint="eastAsia"/>
          <w:lang w:val="en-US" w:eastAsia="zh-CN"/>
        </w:rPr>
        <w:t>Specify that the TA associated with TAG ID=0 to be always associated with the CG-SDT. In this option, that means the candidate SSB configured for initiating CG-SDT shall be from TAG ID=0.</w:t>
      </w:r>
      <w:bookmarkEnd w:id="1"/>
    </w:p>
    <w:p>
      <w:pPr>
        <w:numPr>
          <w:ilvl w:val="0"/>
          <w:numId w:val="14"/>
        </w:numPr>
        <w:ind w:left="420" w:leftChars="0" w:hanging="420" w:firstLineChars="0"/>
        <w:rPr>
          <w:rFonts w:hint="default"/>
          <w:lang w:val="en-US" w:eastAsia="zh-CN"/>
        </w:rPr>
      </w:pPr>
      <w:r>
        <w:rPr>
          <w:rFonts w:hint="eastAsia"/>
          <w:lang w:val="en-US" w:eastAsia="zh-CN"/>
        </w:rPr>
        <w:t xml:space="preserve">Option 3: Make a restriction that the CG-SDT should not be configured for a UE when the PCell from which the RRCRelease is received is configured with 2PTAG. </w:t>
      </w:r>
    </w:p>
    <w:p>
      <w:pPr>
        <w:rPr>
          <w:rFonts w:hint="eastAsia"/>
          <w:lang w:val="en-US" w:eastAsia="zh-CN"/>
        </w:rPr>
      </w:pPr>
      <w:r>
        <w:rPr>
          <w:rFonts w:hint="eastAsia"/>
          <w:lang w:val="en-US" w:eastAsia="zh-CN"/>
        </w:rPr>
        <w:t>For option 1 and option 2, these two options are to provide an explicit indication for indicating the PTAG of which the TA information shall be associated with cg-SDT-TimeAlignmentTimer. While the option 3 intend to not make any impact of 2TA on the current SDT framework. If we go for option 1 and option 2, it seems an enhancement on CG-SDT which should not be discussed in the maintenance stage, in this sense, option 3 is slightly preferred by us.</w:t>
      </w:r>
    </w:p>
    <w:p>
      <w:pPr>
        <w:pStyle w:val="30"/>
        <w:bidi w:val="0"/>
        <w:rPr>
          <w:rFonts w:hint="default"/>
          <w:lang w:val="en-US" w:eastAsia="zh-CN"/>
        </w:rPr>
      </w:pPr>
      <w:bookmarkStart w:id="2" w:name="_Toc11966"/>
      <w:r>
        <w:rPr>
          <w:rFonts w:hint="eastAsia"/>
          <w:i w:val="0"/>
          <w:iCs w:val="0"/>
          <w:lang w:val="en-US" w:eastAsia="zh-CN"/>
        </w:rPr>
        <w:t xml:space="preserve">In Rel-18, CG-SDT should not be configured in the </w:t>
      </w:r>
      <w:r>
        <w:rPr>
          <w:rFonts w:hint="eastAsia"/>
          <w:i/>
          <w:iCs/>
          <w:lang w:val="en-US" w:eastAsia="zh-CN"/>
        </w:rPr>
        <w:t>RRCRelease</w:t>
      </w:r>
      <w:r>
        <w:rPr>
          <w:rFonts w:hint="eastAsia"/>
          <w:i w:val="0"/>
          <w:iCs w:val="0"/>
          <w:lang w:val="en-US" w:eastAsia="zh-CN"/>
        </w:rPr>
        <w:t xml:space="preserve"> if the PCell ,where the RRCRelease is received by a UE, is configured with 2PTAG.</w:t>
      </w:r>
      <w:bookmarkEnd w:id="2"/>
    </w:p>
    <w:p>
      <w:pPr>
        <w:rPr>
          <w:rFonts w:hint="eastAsia"/>
          <w:lang w:val="en-US" w:eastAsia="zh-CN"/>
        </w:rPr>
      </w:pPr>
      <w:r>
        <w:rPr>
          <w:rFonts w:hint="eastAsia"/>
          <w:lang w:val="en-US" w:eastAsia="zh-CN"/>
        </w:rPr>
        <w:t>For implementing proposal 1, we suggest to add a restriction in the field description of SDT-MAC-PHY-CG-Config:</w:t>
      </w:r>
    </w:p>
    <w:p>
      <w:pPr>
        <w:pStyle w:val="30"/>
        <w:bidi w:val="0"/>
        <w:rPr>
          <w:rFonts w:hint="eastAsia"/>
          <w:lang w:val="en-US" w:eastAsia="zh-CN"/>
        </w:rPr>
      </w:pPr>
      <w:bookmarkStart w:id="3" w:name="_Toc176"/>
      <w:r>
        <w:rPr>
          <w:rFonts w:hint="eastAsia"/>
          <w:i w:val="0"/>
          <w:iCs w:val="0"/>
          <w:lang w:val="en-US" w:eastAsia="zh-CN"/>
        </w:rPr>
        <w:t>Adding a restriction in the field description of SDT-MAC-PHY-CG-Config like following: NW should not configured this field when the PCell is configured with 2PTAG.</w:t>
      </w:r>
      <w:bookmarkEnd w:id="3"/>
    </w:p>
    <w:p>
      <w:pPr>
        <w:rPr>
          <w:rFonts w:hint="default"/>
          <w:i/>
          <w:iCs/>
          <w:lang w:val="en-US" w:eastAsia="zh-CN"/>
        </w:rPr>
      </w:pPr>
      <w:r>
        <w:rPr>
          <w:rFonts w:hint="eastAsia"/>
          <w:lang w:val="en-US" w:eastAsia="zh-CN"/>
        </w:rPr>
        <w:t xml:space="preserve">In addition, the SDT procedure can be considered as terminated by receiving </w:t>
      </w:r>
      <w:r>
        <w:rPr>
          <w:rFonts w:hint="eastAsia"/>
          <w:i/>
          <w:iCs/>
          <w:lang w:val="en-US" w:eastAsia="zh-CN"/>
        </w:rPr>
        <w:t>RRCResume</w:t>
      </w:r>
      <w:r>
        <w:rPr>
          <w:rFonts w:hint="eastAsia"/>
          <w:lang w:val="en-US" w:eastAsia="zh-CN"/>
        </w:rPr>
        <w:t xml:space="preserve"> (e.g. transition to connected state) within SDT transmission, in this case, the TA for SDT transmission should be applied to the PTAG of the target PCell after UE</w:t>
      </w:r>
      <w:r>
        <w:rPr>
          <w:rFonts w:hint="eastAsia"/>
          <w:i w:val="0"/>
          <w:iCs w:val="0"/>
          <w:lang w:val="en-US" w:eastAsia="zh-CN"/>
        </w:rPr>
        <w:t xml:space="preserve"> restoring the cell group configuration from Inactive UE context</w:t>
      </w:r>
      <w:r>
        <w:rPr>
          <w:rFonts w:hint="eastAsia"/>
          <w:lang w:val="en-US" w:eastAsia="zh-CN"/>
        </w:rPr>
        <w:t xml:space="preserve"> and applying, if configured, the </w:t>
      </w:r>
      <w:r>
        <w:rPr>
          <w:rFonts w:hint="eastAsia"/>
          <w:i/>
          <w:iCs/>
          <w:lang w:val="en-US" w:eastAsia="zh-CN"/>
        </w:rPr>
        <w:t xml:space="preserve">masterCellGroupConfig </w:t>
      </w:r>
      <w:r>
        <w:rPr>
          <w:rFonts w:hint="eastAsia"/>
          <w:i w:val="0"/>
          <w:iCs w:val="0"/>
          <w:lang w:val="en-US" w:eastAsia="zh-CN"/>
        </w:rPr>
        <w:t>in</w:t>
      </w:r>
      <w:r>
        <w:rPr>
          <w:rFonts w:hint="eastAsia"/>
          <w:i/>
          <w:iCs/>
          <w:lang w:val="en-US" w:eastAsia="zh-CN"/>
        </w:rPr>
        <w:t xml:space="preserve"> RRCResume</w:t>
      </w:r>
      <w:r>
        <w:rPr>
          <w:rFonts w:hint="eastAsia"/>
          <w:lang w:val="en-US" w:eastAsia="zh-CN"/>
        </w:rPr>
        <w:t>. There is no issue if the target PCell is configured with only one PTAG, However, if the target PCell is configured with 2TA, UE may not be clear about how to map the TA used for SDT to the right PTAG of the target PCell</w:t>
      </w:r>
      <w:r>
        <w:rPr>
          <w:rFonts w:hint="eastAsia"/>
          <w:i/>
          <w:iCs/>
          <w:lang w:val="en-US" w:eastAsia="zh-CN"/>
        </w:rPr>
        <w:t>.</w:t>
      </w:r>
    </w:p>
    <w:p>
      <w:pPr>
        <w:pStyle w:val="32"/>
        <w:bidi w:val="0"/>
        <w:rPr>
          <w:rFonts w:hint="eastAsia"/>
          <w:lang w:val="en-US" w:eastAsia="zh-CN"/>
        </w:rPr>
      </w:pPr>
      <w:bookmarkStart w:id="4" w:name="_Toc28235"/>
      <w:r>
        <w:rPr>
          <w:rFonts w:hint="eastAsia"/>
          <w:lang w:val="en-US" w:eastAsia="zh-CN"/>
        </w:rPr>
        <w:t>For the case of UE receiving RRCResume when the SDT is ongoing, If the mTRP with 2TA is configured for the target PCell. Normally, UE will not be able to map the TA used for SDT to the right one between two PTAGs.</w:t>
      </w:r>
      <w:bookmarkEnd w:id="4"/>
    </w:p>
    <w:p>
      <w:pPr>
        <w:rPr>
          <w:rFonts w:hint="eastAsia"/>
          <w:i w:val="0"/>
          <w:iCs w:val="0"/>
          <w:lang w:val="en-US" w:eastAsia="zh-CN"/>
        </w:rPr>
      </w:pPr>
      <w:r>
        <w:rPr>
          <w:rFonts w:hint="eastAsia"/>
          <w:lang w:val="en-US" w:eastAsia="zh-CN"/>
        </w:rPr>
        <w:t xml:space="preserve">Considering UE always associates the TA used for SDT with the PTAG with Id=0 in case of one PTAG for PCell in Rel-17, we think we can keep the same rule in Rel-18 for TA association when UE receiving the </w:t>
      </w:r>
      <w:r>
        <w:rPr>
          <w:rFonts w:hint="eastAsia"/>
          <w:i/>
          <w:iCs/>
          <w:lang w:val="en-US" w:eastAsia="zh-CN"/>
        </w:rPr>
        <w:t xml:space="preserve">RRCResume </w:t>
      </w:r>
      <w:r>
        <w:rPr>
          <w:rFonts w:hint="eastAsia"/>
          <w:i w:val="0"/>
          <w:iCs w:val="0"/>
          <w:lang w:val="en-US" w:eastAsia="zh-CN"/>
        </w:rPr>
        <w:t>within SDT transmission even if the PCell is configured with 2PTAG after applying the masterCellGroup</w:t>
      </w:r>
      <w:r>
        <w:rPr>
          <w:rFonts w:hint="eastAsia"/>
          <w:i/>
          <w:iCs/>
          <w:lang w:val="en-US" w:eastAsia="zh-CN"/>
        </w:rPr>
        <w:t>,</w:t>
      </w:r>
      <w:r>
        <w:rPr>
          <w:rFonts w:hint="eastAsia"/>
          <w:i w:val="0"/>
          <w:iCs w:val="0"/>
          <w:lang w:val="en-US" w:eastAsia="zh-CN"/>
        </w:rPr>
        <w:t>then it is up to NW implementation to guarantee to configure the correct TAG configuration to the UE by utilizing the masterCellGroup in RRCResume.</w:t>
      </w:r>
    </w:p>
    <w:p>
      <w:pPr>
        <w:pStyle w:val="30"/>
        <w:bidi w:val="0"/>
        <w:rPr>
          <w:rFonts w:hint="default"/>
          <w:i w:val="0"/>
          <w:iCs w:val="0"/>
          <w:lang w:val="en-US" w:eastAsia="zh-CN"/>
        </w:rPr>
      </w:pPr>
      <w:bookmarkStart w:id="5" w:name="_Toc29691"/>
      <w:r>
        <w:rPr>
          <w:rFonts w:hint="eastAsia"/>
          <w:i w:val="0"/>
          <w:iCs w:val="0"/>
          <w:lang w:val="en-US" w:eastAsia="zh-CN"/>
        </w:rPr>
        <w:t xml:space="preserve">In the case of </w:t>
      </w:r>
      <w:r>
        <w:rPr>
          <w:rFonts w:hint="eastAsia"/>
          <w:i/>
          <w:iCs/>
          <w:lang w:val="en-US" w:eastAsia="zh-CN"/>
        </w:rPr>
        <w:t>RRCResume</w:t>
      </w:r>
      <w:r>
        <w:rPr>
          <w:rFonts w:hint="eastAsia"/>
          <w:i w:val="0"/>
          <w:iCs w:val="0"/>
          <w:lang w:val="en-US" w:eastAsia="zh-CN"/>
        </w:rPr>
        <w:t xml:space="preserve"> is received within SDT transmission, RAN2 clarify that UE always associates the TA for the SDT transmission with PTAG with ID=0 regardless of how many TAGs are configured to the target PCell. No specification change is needed.</w:t>
      </w:r>
      <w:bookmarkEnd w:id="5"/>
    </w:p>
    <w:p>
      <w:pPr>
        <w:bidi w:val="0"/>
        <w:rPr>
          <w:rFonts w:hint="default" w:eastAsia="宋体"/>
          <w:lang w:val="en-US" w:eastAsia="zh-CN"/>
        </w:rPr>
      </w:pPr>
    </w:p>
    <w:p>
      <w:pPr>
        <w:pStyle w:val="3"/>
        <w:bidi w:val="0"/>
        <w:rPr>
          <w:rFonts w:hint="default" w:eastAsia="宋体"/>
          <w:lang w:val="en-US" w:eastAsia="zh-CN"/>
        </w:rPr>
      </w:pPr>
      <w:r>
        <w:rPr>
          <w:rFonts w:hint="eastAsia"/>
          <w:lang w:val="en-US" w:eastAsia="zh-CN"/>
        </w:rPr>
        <w:t>MTTD between 2PTAG</w:t>
      </w:r>
    </w:p>
    <w:p>
      <w:pPr>
        <w:bidi w:val="0"/>
        <w:rPr>
          <w:rFonts w:hint="default" w:eastAsia="宋体"/>
          <w:lang w:val="en-US" w:eastAsia="zh-CN"/>
        </w:rPr>
      </w:pPr>
      <w:r>
        <w:rPr>
          <w:rFonts w:hint="eastAsia" w:eastAsia="宋体"/>
          <w:lang w:val="en-US" w:eastAsia="zh-CN"/>
        </w:rPr>
        <w:t>In the case of 2PTAG is not configured for PCell, the MTTD between 2PTAG across MAC entities is not defined in the MAC spec, regarding the MTTD between 2PTAG in one MAC entity we think it is better to keep the same principle as the case of across MAC entities, otherwise, the sudden stop of UL transmission on a PCell may mislead NW on the current radio link and waist the resources for rescheduling, Moreover, the smart NW implementation is able to avoid such scenario as much as possible.</w:t>
      </w:r>
    </w:p>
    <w:p>
      <w:pPr>
        <w:pStyle w:val="30"/>
        <w:bidi w:val="0"/>
      </w:pPr>
      <w:bookmarkStart w:id="6" w:name="_Toc20963"/>
      <w:r>
        <w:rPr>
          <w:rFonts w:hint="eastAsia"/>
          <w:i w:val="0"/>
          <w:iCs w:val="0"/>
          <w:lang w:val="en-US" w:eastAsia="zh-CN"/>
        </w:rPr>
        <w:t>Regarding the MTTD between 2PTAG for one MAC entity, there is no need for UE to stop any TAT for PTAGs. No specification change is needed.</w:t>
      </w:r>
      <w:bookmarkEnd w:id="6"/>
    </w:p>
    <w:p>
      <w:pPr>
        <w:bidi w:val="0"/>
      </w:pPr>
    </w:p>
    <w:p>
      <w:pPr>
        <w:bidi w:val="0"/>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on the </w:t>
      </w:r>
      <w:r>
        <w:rPr>
          <w:rFonts w:hint="eastAsia" w:eastAsia="微软雅黑"/>
          <w:sz w:val="21"/>
          <w:szCs w:val="21"/>
        </w:rPr>
        <w:t xml:space="preserve">remaining issues on </w:t>
      </w:r>
      <w:r>
        <w:rPr>
          <w:rFonts w:hint="eastAsia" w:eastAsia="微软雅黑"/>
          <w:sz w:val="21"/>
          <w:szCs w:val="21"/>
          <w:lang w:val="en-US" w:eastAsia="zh-CN"/>
        </w:rPr>
        <w:t>two TA</w:t>
      </w:r>
      <w:r>
        <w:rPr>
          <w:rFonts w:eastAsia="微软雅黑"/>
          <w:sz w:val="21"/>
          <w:szCs w:val="21"/>
        </w:rPr>
        <w:t>.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rPr>
          <w:szCs w:val="21"/>
          <w:highlight w:val="yellow"/>
        </w:rPr>
        <w:fldChar w:fldCharType="begin"/>
      </w:r>
      <w:r>
        <w:rPr>
          <w:szCs w:val="21"/>
          <w:highlight w:val="yellow"/>
        </w:rPr>
        <w:instrText xml:space="preserve"> HYPERLINK \l _Toc14669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CG-SDT, in the case of the PCell where the RRCRelease is received is configured with intra-cell mTRP with 2TA, due to the lack of the association between TAG and SSB, UE may have no ability to apply the correct TA for the selected SSB when performing the CG-SDT.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_Toc28235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2: </w:t>
      </w:r>
      <w:r>
        <w:rPr>
          <w:rFonts w:hint="eastAsia"/>
          <w:lang w:val="en-US" w:eastAsia="zh-CN"/>
        </w:rPr>
        <w:t>For the case of UE receiving RRCResume when the SDT is ongoing, If the mTRP with 2TA is configured for the target PCell. Normally, UE will not be able to map the TA used for SDT to the right one between two PTAGs.</w:t>
      </w:r>
      <w:r>
        <w:rPr>
          <w:szCs w:val="21"/>
          <w:highlight w:val="yellow"/>
        </w:rPr>
        <w:fldChar w:fldCharType="end"/>
      </w:r>
    </w:p>
    <w:p>
      <w:pPr>
        <w:snapToGrid w:val="0"/>
        <w:spacing w:before="72" w:beforeLines="30" w:after="72" w:afterLines="30" w:line="288" w:lineRule="auto"/>
        <w:rPr>
          <w:rFonts w:eastAsia="微软雅黑"/>
          <w:sz w:val="21"/>
          <w:szCs w:val="21"/>
          <w:highlight w:val="yellow"/>
        </w:rPr>
      </w:pPr>
      <w:r>
        <w:rPr>
          <w:szCs w:val="21"/>
          <w:highlight w:val="yellow"/>
        </w:rPr>
        <w:fldChar w:fldCharType="end"/>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_Toc11966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1: </w:t>
      </w:r>
      <w:r>
        <w:rPr>
          <w:rFonts w:hint="eastAsia"/>
          <w:i w:val="0"/>
          <w:iCs w:val="0"/>
          <w:lang w:val="en-US" w:eastAsia="zh-CN"/>
        </w:rPr>
        <w:t xml:space="preserve">In Rel-18, CG-SDT should not be configured in the </w:t>
      </w:r>
      <w:r>
        <w:rPr>
          <w:rFonts w:hint="eastAsia"/>
          <w:i/>
          <w:iCs/>
          <w:lang w:val="en-US" w:eastAsia="zh-CN"/>
        </w:rPr>
        <w:t>RRCRelease</w:t>
      </w:r>
      <w:r>
        <w:rPr>
          <w:rFonts w:hint="eastAsia"/>
          <w:i w:val="0"/>
          <w:iCs w:val="0"/>
          <w:lang w:val="en-US" w:eastAsia="zh-CN"/>
        </w:rPr>
        <w:t xml:space="preserve"> if the PCell ,where the RRCRelease is received by a UE, is configured with 2PTAG.</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_Toc176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2: </w:t>
      </w:r>
      <w:r>
        <w:rPr>
          <w:rFonts w:hint="eastAsia"/>
          <w:i w:val="0"/>
          <w:iCs w:val="0"/>
          <w:lang w:val="en-US" w:eastAsia="zh-CN"/>
        </w:rPr>
        <w:t>Adding a restriction in the field description of SDT-MAC-PHY-CG-Config like following: NW should not configured this field when the PCell is configured with 2PTAG.</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_Toc29691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 xml:space="preserve">In the case of </w:t>
      </w:r>
      <w:r>
        <w:rPr>
          <w:rFonts w:hint="eastAsia"/>
          <w:i/>
          <w:iCs/>
          <w:lang w:val="en-US" w:eastAsia="zh-CN"/>
        </w:rPr>
        <w:t>RRCResume</w:t>
      </w:r>
      <w:r>
        <w:rPr>
          <w:rFonts w:hint="eastAsia"/>
          <w:i w:val="0"/>
          <w:iCs w:val="0"/>
          <w:lang w:val="en-US" w:eastAsia="zh-CN"/>
        </w:rPr>
        <w:t xml:space="preserve"> is received within SDT transmission, RAN2 clarify that UE always associates the TA for the SDT transmission is applied to the PTAG with ID=0 no matter how many TAGs are configured to the target PCell. No specification change is needed.</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_Toc20963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4: </w:t>
      </w:r>
      <w:r>
        <w:rPr>
          <w:rFonts w:hint="eastAsia"/>
          <w:i w:val="0"/>
          <w:iCs w:val="0"/>
          <w:lang w:val="en-US" w:eastAsia="zh-CN"/>
        </w:rPr>
        <w:t>Regarding the MTTD between 2PTAG for one MAC entity, there is no need for UE to stop any TAT of PTAGs. No specification change is needed.</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5"/>
        </w:numPr>
        <w:spacing w:before="120" w:after="120"/>
        <w:rPr>
          <w:rFonts w:hint="eastAsia" w:eastAsia="宋体"/>
          <w:lang w:val="en-US" w:eastAsia="zh-CN" w:bidi="ar"/>
        </w:rPr>
      </w:pPr>
      <w:r>
        <w:rPr>
          <w:lang w:bidi="ar"/>
        </w:rPr>
        <w:t>38.321</w:t>
      </w:r>
      <w:r>
        <w:rPr>
          <w:rFonts w:hint="eastAsia" w:eastAsia="宋体"/>
          <w:lang w:val="en-US" w:eastAsia="zh-CN" w:bidi="ar"/>
        </w:rPr>
        <w:t xml:space="preserve"> i00</w:t>
      </w:r>
    </w:p>
    <w:p>
      <w:pPr>
        <w:numPr>
          <w:ilvl w:val="0"/>
          <w:numId w:val="15"/>
        </w:numPr>
        <w:spacing w:before="120" w:after="120"/>
        <w:rPr>
          <w:rFonts w:hint="default" w:eastAsia="宋体"/>
          <w:lang w:val="en-US" w:eastAsia="zh-CN" w:bidi="ar"/>
        </w:rPr>
      </w:pPr>
      <w:r>
        <w:rPr>
          <w:rFonts w:hint="eastAsia" w:eastAsia="宋体"/>
          <w:lang w:val="en-US" w:eastAsia="zh-CN" w:bidi="ar"/>
        </w:rPr>
        <w:t>38.331 i00</w:t>
      </w:r>
    </w:p>
    <w:p>
      <w:pPr>
        <w:spacing w:before="120" w:after="120"/>
      </w:pPr>
    </w:p>
    <w:p>
      <w:pPr>
        <w:spacing w:before="120" w:after="120"/>
        <w:rPr>
          <w:rFonts w:hint="eastAsia" w:eastAsiaTheme="minorEastAsia"/>
          <w:rPrChange w:id="1" w:author="ZTE-Fei Dong" w:date="2024-02-08T15:21:00Z">
            <w:rPr/>
          </w:rPrChange>
        </w:rPr>
      </w:pPr>
    </w:p>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E79EF126"/>
    <w:multiLevelType w:val="multilevel"/>
    <w:tmpl w:val="E79EF1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00B29C5"/>
    <w:multiLevelType w:val="multilevel"/>
    <w:tmpl w:val="100B29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6">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7">
    <w:nsid w:val="3185DC25"/>
    <w:multiLevelType w:val="singleLevel"/>
    <w:tmpl w:val="3185DC25"/>
    <w:lvl w:ilvl="0" w:tentative="0">
      <w:start w:val="1"/>
      <w:numFmt w:val="bullet"/>
      <w:lvlText w:val=""/>
      <w:lvlJc w:val="left"/>
      <w:pPr>
        <w:ind w:left="420" w:hanging="420"/>
      </w:pPr>
      <w:rPr>
        <w:rFonts w:hint="default" w:ascii="Wingdings" w:hAnsi="Wingdings"/>
      </w:rPr>
    </w:lvl>
  </w:abstractNum>
  <w:abstractNum w:abstractNumId="8">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10">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11">
    <w:nsid w:val="56CDBBC2"/>
    <w:multiLevelType w:val="singleLevel"/>
    <w:tmpl w:val="56CDBBC2"/>
    <w:lvl w:ilvl="0" w:tentative="0">
      <w:start w:val="1"/>
      <w:numFmt w:val="decimal"/>
      <w:suff w:val="space"/>
      <w:lvlText w:val="[%1]"/>
      <w:lvlJc w:val="left"/>
    </w:lvl>
  </w:abstractNum>
  <w:abstractNum w:abstractNumId="12">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3">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9"/>
  </w:num>
  <w:num w:numId="2">
    <w:abstractNumId w:val="1"/>
  </w:num>
  <w:num w:numId="3">
    <w:abstractNumId w:val="12"/>
  </w:num>
  <w:num w:numId="4">
    <w:abstractNumId w:val="13"/>
  </w:num>
  <w:num w:numId="5">
    <w:abstractNumId w:val="0"/>
  </w:num>
  <w:num w:numId="6">
    <w:abstractNumId w:val="10"/>
  </w:num>
  <w:num w:numId="7">
    <w:abstractNumId w:val="5"/>
  </w:num>
  <w:num w:numId="8">
    <w:abstractNumId w:val="4"/>
  </w:num>
  <w:num w:numId="9">
    <w:abstractNumId w:val="8"/>
  </w:num>
  <w:num w:numId="10">
    <w:abstractNumId w:val="6"/>
  </w:num>
  <w:num w:numId="11">
    <w:abstractNumId w:val="14"/>
  </w:num>
  <w:num w:numId="12">
    <w:abstractNumId w:val="3"/>
  </w:num>
  <w:num w:numId="13">
    <w:abstractNumId w:val="2"/>
  </w:num>
  <w:num w:numId="14">
    <w:abstractNumId w:val="7"/>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17951B1"/>
    <w:rsid w:val="017A6DCA"/>
    <w:rsid w:val="020F66B2"/>
    <w:rsid w:val="02293947"/>
    <w:rsid w:val="024D6B6A"/>
    <w:rsid w:val="029010D5"/>
    <w:rsid w:val="029B04E7"/>
    <w:rsid w:val="03072F19"/>
    <w:rsid w:val="03073BDC"/>
    <w:rsid w:val="030C5976"/>
    <w:rsid w:val="032755F8"/>
    <w:rsid w:val="033F44DC"/>
    <w:rsid w:val="0381701C"/>
    <w:rsid w:val="04185C08"/>
    <w:rsid w:val="04206331"/>
    <w:rsid w:val="043168B5"/>
    <w:rsid w:val="04DA33A7"/>
    <w:rsid w:val="0555228E"/>
    <w:rsid w:val="057D6C1A"/>
    <w:rsid w:val="05833A23"/>
    <w:rsid w:val="059D1E39"/>
    <w:rsid w:val="05E078B3"/>
    <w:rsid w:val="06533D31"/>
    <w:rsid w:val="077D0583"/>
    <w:rsid w:val="079724D0"/>
    <w:rsid w:val="082A352F"/>
    <w:rsid w:val="08325246"/>
    <w:rsid w:val="084D7D75"/>
    <w:rsid w:val="085310AF"/>
    <w:rsid w:val="08C349D1"/>
    <w:rsid w:val="08FD1F99"/>
    <w:rsid w:val="095C4FB4"/>
    <w:rsid w:val="09AC6804"/>
    <w:rsid w:val="09F67CD5"/>
    <w:rsid w:val="0A9724B3"/>
    <w:rsid w:val="0AC167FE"/>
    <w:rsid w:val="0B584155"/>
    <w:rsid w:val="0B9E71DF"/>
    <w:rsid w:val="0BBD62CF"/>
    <w:rsid w:val="0C265FD9"/>
    <w:rsid w:val="0C9D30C2"/>
    <w:rsid w:val="0D2242B0"/>
    <w:rsid w:val="0D9D65F4"/>
    <w:rsid w:val="0DE91C8A"/>
    <w:rsid w:val="0E172BD0"/>
    <w:rsid w:val="0EDF02B5"/>
    <w:rsid w:val="0EEC1926"/>
    <w:rsid w:val="0F7716EA"/>
    <w:rsid w:val="0FA72312"/>
    <w:rsid w:val="100D6188"/>
    <w:rsid w:val="10505D93"/>
    <w:rsid w:val="106D269D"/>
    <w:rsid w:val="10936355"/>
    <w:rsid w:val="10A50104"/>
    <w:rsid w:val="10EE6A98"/>
    <w:rsid w:val="115B3410"/>
    <w:rsid w:val="11777AE8"/>
    <w:rsid w:val="119D7849"/>
    <w:rsid w:val="1242135C"/>
    <w:rsid w:val="12F33A2A"/>
    <w:rsid w:val="13561985"/>
    <w:rsid w:val="13A1683F"/>
    <w:rsid w:val="13FF2ABB"/>
    <w:rsid w:val="14960C8D"/>
    <w:rsid w:val="14DA3DA1"/>
    <w:rsid w:val="152D3980"/>
    <w:rsid w:val="15BE6B7D"/>
    <w:rsid w:val="168C722A"/>
    <w:rsid w:val="17155857"/>
    <w:rsid w:val="17950508"/>
    <w:rsid w:val="17AD7BB9"/>
    <w:rsid w:val="17C01C99"/>
    <w:rsid w:val="180C4E5E"/>
    <w:rsid w:val="18677125"/>
    <w:rsid w:val="18B4714D"/>
    <w:rsid w:val="19010C43"/>
    <w:rsid w:val="19084C73"/>
    <w:rsid w:val="194239FF"/>
    <w:rsid w:val="19872E96"/>
    <w:rsid w:val="19E51863"/>
    <w:rsid w:val="1A0470F6"/>
    <w:rsid w:val="1A054259"/>
    <w:rsid w:val="1A1000DE"/>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7A1BD5"/>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3D1BA7"/>
    <w:rsid w:val="237776CF"/>
    <w:rsid w:val="23B369D5"/>
    <w:rsid w:val="23C15D2D"/>
    <w:rsid w:val="23CE335E"/>
    <w:rsid w:val="243E205B"/>
    <w:rsid w:val="245C52F8"/>
    <w:rsid w:val="245F0637"/>
    <w:rsid w:val="2463385E"/>
    <w:rsid w:val="24E64719"/>
    <w:rsid w:val="250D568B"/>
    <w:rsid w:val="25134332"/>
    <w:rsid w:val="257E508F"/>
    <w:rsid w:val="25961FCE"/>
    <w:rsid w:val="26BF5712"/>
    <w:rsid w:val="270011DC"/>
    <w:rsid w:val="27AB7429"/>
    <w:rsid w:val="281C2C78"/>
    <w:rsid w:val="28416E7E"/>
    <w:rsid w:val="285C053E"/>
    <w:rsid w:val="289C4647"/>
    <w:rsid w:val="28EB51E0"/>
    <w:rsid w:val="293351FB"/>
    <w:rsid w:val="29FA7F26"/>
    <w:rsid w:val="2A0F29F0"/>
    <w:rsid w:val="2A374081"/>
    <w:rsid w:val="2A4960A1"/>
    <w:rsid w:val="2A520385"/>
    <w:rsid w:val="2A5F0C68"/>
    <w:rsid w:val="2B774832"/>
    <w:rsid w:val="2BD23509"/>
    <w:rsid w:val="2C3E7B79"/>
    <w:rsid w:val="2C946521"/>
    <w:rsid w:val="2CB52ADF"/>
    <w:rsid w:val="2CDE11E4"/>
    <w:rsid w:val="2F1251F2"/>
    <w:rsid w:val="2FFD2C3E"/>
    <w:rsid w:val="30962F3E"/>
    <w:rsid w:val="30A12CDF"/>
    <w:rsid w:val="30D17E68"/>
    <w:rsid w:val="30FF2795"/>
    <w:rsid w:val="311F3225"/>
    <w:rsid w:val="31F206BD"/>
    <w:rsid w:val="322D54F6"/>
    <w:rsid w:val="3283370E"/>
    <w:rsid w:val="329A6ACE"/>
    <w:rsid w:val="33100CE4"/>
    <w:rsid w:val="33607071"/>
    <w:rsid w:val="338D7587"/>
    <w:rsid w:val="34A16B63"/>
    <w:rsid w:val="35700BFC"/>
    <w:rsid w:val="359547E0"/>
    <w:rsid w:val="35A4779E"/>
    <w:rsid w:val="35EB3B29"/>
    <w:rsid w:val="360B1D73"/>
    <w:rsid w:val="361F3323"/>
    <w:rsid w:val="36A04581"/>
    <w:rsid w:val="36B76EFF"/>
    <w:rsid w:val="36CA7ED4"/>
    <w:rsid w:val="36E93760"/>
    <w:rsid w:val="37305077"/>
    <w:rsid w:val="37453535"/>
    <w:rsid w:val="377E620D"/>
    <w:rsid w:val="3784394E"/>
    <w:rsid w:val="37A507E2"/>
    <w:rsid w:val="38AE3BB0"/>
    <w:rsid w:val="3923463F"/>
    <w:rsid w:val="3941471E"/>
    <w:rsid w:val="3969407E"/>
    <w:rsid w:val="3AAF56A0"/>
    <w:rsid w:val="3AC71DA2"/>
    <w:rsid w:val="3ACB5746"/>
    <w:rsid w:val="3AFC11E0"/>
    <w:rsid w:val="3B217091"/>
    <w:rsid w:val="3B403ECA"/>
    <w:rsid w:val="3B4211D6"/>
    <w:rsid w:val="3BB20883"/>
    <w:rsid w:val="3C0E1FB8"/>
    <w:rsid w:val="3C935077"/>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40D5045"/>
    <w:rsid w:val="44173BF9"/>
    <w:rsid w:val="44416E39"/>
    <w:rsid w:val="44613B62"/>
    <w:rsid w:val="44F3408E"/>
    <w:rsid w:val="4515300D"/>
    <w:rsid w:val="455B0E88"/>
    <w:rsid w:val="45AF5BAB"/>
    <w:rsid w:val="45BE6191"/>
    <w:rsid w:val="45F4123C"/>
    <w:rsid w:val="460C5979"/>
    <w:rsid w:val="47412B37"/>
    <w:rsid w:val="474A4532"/>
    <w:rsid w:val="475E782E"/>
    <w:rsid w:val="476F0FC5"/>
    <w:rsid w:val="47C01792"/>
    <w:rsid w:val="4808150F"/>
    <w:rsid w:val="48107720"/>
    <w:rsid w:val="483B65F5"/>
    <w:rsid w:val="49073F06"/>
    <w:rsid w:val="49BC4BE1"/>
    <w:rsid w:val="49C74315"/>
    <w:rsid w:val="49E9233D"/>
    <w:rsid w:val="4A42266B"/>
    <w:rsid w:val="4A434E8D"/>
    <w:rsid w:val="4AAD1944"/>
    <w:rsid w:val="4AC31003"/>
    <w:rsid w:val="4AE93159"/>
    <w:rsid w:val="4B28179F"/>
    <w:rsid w:val="4B5C4413"/>
    <w:rsid w:val="4BB45090"/>
    <w:rsid w:val="4BD0339A"/>
    <w:rsid w:val="4D19690C"/>
    <w:rsid w:val="4D462159"/>
    <w:rsid w:val="4D5C5FAC"/>
    <w:rsid w:val="4D672FD1"/>
    <w:rsid w:val="4DC605B6"/>
    <w:rsid w:val="4DEC0985"/>
    <w:rsid w:val="4E27683A"/>
    <w:rsid w:val="4F1A715B"/>
    <w:rsid w:val="4F2765B1"/>
    <w:rsid w:val="4F285975"/>
    <w:rsid w:val="4F612D05"/>
    <w:rsid w:val="4F672A37"/>
    <w:rsid w:val="4F7409E6"/>
    <w:rsid w:val="504B4F45"/>
    <w:rsid w:val="5090028C"/>
    <w:rsid w:val="50DD1BD1"/>
    <w:rsid w:val="5145149A"/>
    <w:rsid w:val="516721CB"/>
    <w:rsid w:val="51796EDE"/>
    <w:rsid w:val="51867298"/>
    <w:rsid w:val="51AC0F10"/>
    <w:rsid w:val="520B1A1C"/>
    <w:rsid w:val="52195EDF"/>
    <w:rsid w:val="52313387"/>
    <w:rsid w:val="52595E1D"/>
    <w:rsid w:val="5283747E"/>
    <w:rsid w:val="529F0593"/>
    <w:rsid w:val="52B05355"/>
    <w:rsid w:val="52C104ED"/>
    <w:rsid w:val="52E04D27"/>
    <w:rsid w:val="52FF78E7"/>
    <w:rsid w:val="532F29E7"/>
    <w:rsid w:val="539A390F"/>
    <w:rsid w:val="53C62000"/>
    <w:rsid w:val="53CF14EE"/>
    <w:rsid w:val="53DB3477"/>
    <w:rsid w:val="54AF6B42"/>
    <w:rsid w:val="54E86AFF"/>
    <w:rsid w:val="55D02E6C"/>
    <w:rsid w:val="55DD6F2A"/>
    <w:rsid w:val="55E52812"/>
    <w:rsid w:val="560E3399"/>
    <w:rsid w:val="5674038B"/>
    <w:rsid w:val="56D02A7B"/>
    <w:rsid w:val="56E23970"/>
    <w:rsid w:val="56FE2FE7"/>
    <w:rsid w:val="57155486"/>
    <w:rsid w:val="57773B00"/>
    <w:rsid w:val="577A3C7D"/>
    <w:rsid w:val="578F220A"/>
    <w:rsid w:val="57FC07D9"/>
    <w:rsid w:val="58500F22"/>
    <w:rsid w:val="58A07C92"/>
    <w:rsid w:val="58B01CD1"/>
    <w:rsid w:val="59044DFA"/>
    <w:rsid w:val="591C0009"/>
    <w:rsid w:val="591D7CE9"/>
    <w:rsid w:val="59772C15"/>
    <w:rsid w:val="5A256629"/>
    <w:rsid w:val="5A683F99"/>
    <w:rsid w:val="5A7C7F4E"/>
    <w:rsid w:val="5ACF0F3A"/>
    <w:rsid w:val="5AE22EAF"/>
    <w:rsid w:val="5B3917E9"/>
    <w:rsid w:val="5B887232"/>
    <w:rsid w:val="5BED6C94"/>
    <w:rsid w:val="5C6B1600"/>
    <w:rsid w:val="5C921AD0"/>
    <w:rsid w:val="5CF7438B"/>
    <w:rsid w:val="5D7D0B67"/>
    <w:rsid w:val="5DFD51DB"/>
    <w:rsid w:val="5E0D36E5"/>
    <w:rsid w:val="5E7F7360"/>
    <w:rsid w:val="5E966929"/>
    <w:rsid w:val="5EB903DA"/>
    <w:rsid w:val="5F0F41DF"/>
    <w:rsid w:val="5F501BDB"/>
    <w:rsid w:val="5FCF3C4B"/>
    <w:rsid w:val="5FF53D41"/>
    <w:rsid w:val="60140907"/>
    <w:rsid w:val="60642278"/>
    <w:rsid w:val="607C3753"/>
    <w:rsid w:val="60C30855"/>
    <w:rsid w:val="61421EFD"/>
    <w:rsid w:val="615C5041"/>
    <w:rsid w:val="61C736BE"/>
    <w:rsid w:val="61EA703F"/>
    <w:rsid w:val="62FD1588"/>
    <w:rsid w:val="63372785"/>
    <w:rsid w:val="636A526A"/>
    <w:rsid w:val="64934878"/>
    <w:rsid w:val="64AE73D4"/>
    <w:rsid w:val="64DA1397"/>
    <w:rsid w:val="65967AC8"/>
    <w:rsid w:val="65B446C7"/>
    <w:rsid w:val="66220A77"/>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BF84491"/>
    <w:rsid w:val="6C89456C"/>
    <w:rsid w:val="6D663271"/>
    <w:rsid w:val="6D9B5DDA"/>
    <w:rsid w:val="6EAA5E04"/>
    <w:rsid w:val="6F901B66"/>
    <w:rsid w:val="6FA629D4"/>
    <w:rsid w:val="6FC05247"/>
    <w:rsid w:val="6FD10552"/>
    <w:rsid w:val="6FEC35B1"/>
    <w:rsid w:val="705D6B36"/>
    <w:rsid w:val="70602E31"/>
    <w:rsid w:val="70912EBC"/>
    <w:rsid w:val="70BB2EF0"/>
    <w:rsid w:val="70E43928"/>
    <w:rsid w:val="71811486"/>
    <w:rsid w:val="7205242C"/>
    <w:rsid w:val="72694601"/>
    <w:rsid w:val="72C33A8B"/>
    <w:rsid w:val="73414765"/>
    <w:rsid w:val="73455C21"/>
    <w:rsid w:val="73D425F7"/>
    <w:rsid w:val="74263AAC"/>
    <w:rsid w:val="750A2023"/>
    <w:rsid w:val="762338B0"/>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BB0546"/>
    <w:rsid w:val="79D33056"/>
    <w:rsid w:val="7AAE70ED"/>
    <w:rsid w:val="7ADE0D63"/>
    <w:rsid w:val="7B553028"/>
    <w:rsid w:val="7B604BC4"/>
    <w:rsid w:val="7B6C1C0D"/>
    <w:rsid w:val="7B7C74A8"/>
    <w:rsid w:val="7B9A3154"/>
    <w:rsid w:val="7C26369C"/>
    <w:rsid w:val="7C9E5A24"/>
    <w:rsid w:val="7CA17D91"/>
    <w:rsid w:val="7CAC00CB"/>
    <w:rsid w:val="7CD40FDF"/>
    <w:rsid w:val="7D575412"/>
    <w:rsid w:val="7D62117D"/>
    <w:rsid w:val="7DAC30FF"/>
    <w:rsid w:val="7DB275A7"/>
    <w:rsid w:val="7DB54254"/>
    <w:rsid w:val="7DE21475"/>
    <w:rsid w:val="7E3E1EF2"/>
    <w:rsid w:val="7E7745C1"/>
    <w:rsid w:val="7E8070E2"/>
    <w:rsid w:val="7E8E2FD8"/>
    <w:rsid w:val="7E951513"/>
    <w:rsid w:val="7E9B749B"/>
    <w:rsid w:val="7EA27EB5"/>
    <w:rsid w:val="7EAB435E"/>
    <w:rsid w:val="7EBD7F90"/>
    <w:rsid w:val="7ED001FD"/>
    <w:rsid w:val="7EF74FC9"/>
    <w:rsid w:val="7F365713"/>
    <w:rsid w:val="7F3C0B3F"/>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link w:val="81"/>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List 3"/>
    <w:basedOn w:val="9"/>
    <w:semiHidden/>
    <w:unhideWhenUsed/>
    <w:qFormat/>
    <w:uiPriority w:val="99"/>
    <w:pPr>
      <w:ind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qFormat/>
    <w:uiPriority w:val="99"/>
    <w:pPr>
      <w:spacing w:beforeLines="0"/>
      <w:ind w:left="720"/>
      <w:contextualSpacing/>
    </w:pPr>
    <w:rPr>
      <w:sz w:val="24"/>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3E118-5B89-4433-B676-59EAD113BD5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1108</Words>
  <Characters>6321</Characters>
  <Lines>52</Lines>
  <Paragraphs>14</Paragraphs>
  <TotalTime>5</TotalTime>
  <ScaleCrop>false</ScaleCrop>
  <LinksUpToDate>false</LinksUpToDate>
  <CharactersWithSpaces>7415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2024-02-19T08:02:32Z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